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04" w:rsidRPr="00454481" w:rsidRDefault="00FE4B04" w:rsidP="00FE4B04">
      <w:pPr>
        <w:jc w:val="center"/>
        <w:rPr>
          <w:rFonts w:ascii="Arial" w:hAnsi="Arial" w:cs="Arial"/>
          <w:b/>
          <w:sz w:val="24"/>
          <w:szCs w:val="24"/>
        </w:rPr>
      </w:pPr>
    </w:p>
    <w:p w:rsidR="009A3C55" w:rsidRPr="00C6321D" w:rsidRDefault="001E1E2A" w:rsidP="00F638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321D">
        <w:rPr>
          <w:rFonts w:ascii="Arial" w:hAnsi="Arial" w:cs="Arial"/>
          <w:b/>
          <w:sz w:val="24"/>
          <w:szCs w:val="24"/>
        </w:rPr>
        <w:t>COMMENTS ON REVISED HEALTH DATA MANAGEMENT POLICY</w:t>
      </w:r>
    </w:p>
    <w:p w:rsidR="008963CE" w:rsidRDefault="008963CE">
      <w:pPr>
        <w:rPr>
          <w:rFonts w:ascii="Arial" w:hAnsi="Arial" w:cs="Arial"/>
          <w:sz w:val="24"/>
          <w:szCs w:val="24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790"/>
        <w:gridCol w:w="1752"/>
        <w:gridCol w:w="4770"/>
        <w:gridCol w:w="3150"/>
        <w:tblGridChange w:id="0">
          <w:tblGrid>
            <w:gridCol w:w="603"/>
            <w:gridCol w:w="790"/>
            <w:gridCol w:w="1752"/>
            <w:gridCol w:w="4770"/>
            <w:gridCol w:w="3150"/>
          </w:tblGrid>
        </w:tblGridChange>
      </w:tblGrid>
      <w:tr w:rsidR="008963CE" w:rsidRPr="00454481" w:rsidTr="001E1E2A">
        <w:trPr>
          <w:jc w:val="center"/>
        </w:trPr>
        <w:tc>
          <w:tcPr>
            <w:tcW w:w="3145" w:type="dxa"/>
            <w:gridSpan w:val="3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>Change suggested by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963CE" w:rsidRDefault="001E1E2A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EE9">
              <w:rPr>
                <w:rFonts w:ascii="Arial" w:hAnsi="Arial" w:cs="Arial"/>
                <w:b/>
                <w:sz w:val="24"/>
                <w:szCs w:val="24"/>
              </w:rPr>
              <w:t>ICICI Lombard General Insurance Company Limited</w:t>
            </w:r>
          </w:p>
          <w:p w:rsidR="001E1E2A" w:rsidRPr="00454481" w:rsidRDefault="001E1E2A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3CE" w:rsidRPr="00454481" w:rsidTr="001E1E2A">
        <w:trPr>
          <w:jc w:val="center"/>
        </w:trPr>
        <w:tc>
          <w:tcPr>
            <w:tcW w:w="3145" w:type="dxa"/>
            <w:gridSpan w:val="3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963CE" w:rsidRDefault="001E1E2A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20, 2022</w:t>
            </w:r>
          </w:p>
          <w:p w:rsidR="001E1E2A" w:rsidRPr="00454481" w:rsidRDefault="001E1E2A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3CE" w:rsidRPr="00454481" w:rsidTr="001E1E2A">
        <w:trPr>
          <w:jc w:val="center"/>
        </w:trPr>
        <w:tc>
          <w:tcPr>
            <w:tcW w:w="603" w:type="dxa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E1E2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54481">
              <w:rPr>
                <w:rFonts w:ascii="Arial" w:hAnsi="Arial" w:cs="Arial"/>
                <w:b/>
                <w:sz w:val="24"/>
                <w:szCs w:val="24"/>
              </w:rPr>
              <w:t>. No.</w:t>
            </w:r>
          </w:p>
        </w:tc>
        <w:tc>
          <w:tcPr>
            <w:tcW w:w="790" w:type="dxa"/>
            <w:shd w:val="clear" w:color="auto" w:fill="auto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>Page No</w:t>
            </w:r>
            <w:r w:rsidR="001E1E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>Clause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r w:rsidRPr="00454481">
              <w:rPr>
                <w:rFonts w:ascii="Arial" w:hAnsi="Arial" w:cs="Arial"/>
                <w:b/>
                <w:sz w:val="24"/>
                <w:szCs w:val="24"/>
              </w:rPr>
              <w:t xml:space="preserve"> Sub-Clause  No./</w:t>
            </w:r>
          </w:p>
          <w:p w:rsidR="008963CE" w:rsidRPr="00454481" w:rsidRDefault="008963CE" w:rsidP="00E35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 xml:space="preserve">Para </w:t>
            </w:r>
            <w:r w:rsidR="00E358D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0" w:type="dxa"/>
            <w:shd w:val="clear" w:color="auto" w:fill="auto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Views / </w:t>
            </w:r>
            <w:r w:rsidRPr="00454481">
              <w:rPr>
                <w:rFonts w:ascii="Arial" w:hAnsi="Arial" w:cs="Arial"/>
                <w:b/>
                <w:sz w:val="24"/>
                <w:szCs w:val="24"/>
              </w:rPr>
              <w:t>Comments / Change</w:t>
            </w:r>
            <w:r w:rsidR="003B67E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54481">
              <w:rPr>
                <w:rFonts w:ascii="Arial" w:hAnsi="Arial" w:cs="Arial"/>
                <w:b/>
                <w:sz w:val="24"/>
                <w:szCs w:val="24"/>
              </w:rPr>
              <w:t xml:space="preserve"> suggested</w:t>
            </w:r>
          </w:p>
        </w:tc>
        <w:tc>
          <w:tcPr>
            <w:tcW w:w="3150" w:type="dxa"/>
            <w:shd w:val="clear" w:color="auto" w:fill="auto"/>
          </w:tcPr>
          <w:p w:rsidR="008963CE" w:rsidRPr="00454481" w:rsidRDefault="008963CE" w:rsidP="009E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81">
              <w:rPr>
                <w:rFonts w:ascii="Arial" w:hAnsi="Arial" w:cs="Arial"/>
                <w:b/>
                <w:sz w:val="24"/>
                <w:szCs w:val="24"/>
              </w:rPr>
              <w:t>Rationale</w:t>
            </w:r>
          </w:p>
        </w:tc>
      </w:tr>
      <w:tr w:rsidR="008B7CA3" w:rsidRPr="00454481" w:rsidTr="008B7CA3">
        <w:trPr>
          <w:trHeight w:val="4517"/>
          <w:jc w:val="center"/>
        </w:trPr>
        <w:tc>
          <w:tcPr>
            <w:tcW w:w="603" w:type="dxa"/>
          </w:tcPr>
          <w:p w:rsidR="008963CE" w:rsidRDefault="008963CE" w:rsidP="009E18C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8963CE" w:rsidRPr="008963CE" w:rsidRDefault="009635DB" w:rsidP="009E18C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8963CE" w:rsidRPr="008963CE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:rsidR="008963CE" w:rsidRDefault="008963CE" w:rsidP="009E18C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8963CE" w:rsidRPr="008963CE" w:rsidRDefault="00444E7B" w:rsidP="009E18C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21</w:t>
            </w:r>
          </w:p>
        </w:tc>
        <w:tc>
          <w:tcPr>
            <w:tcW w:w="1752" w:type="dxa"/>
            <w:shd w:val="clear" w:color="auto" w:fill="auto"/>
          </w:tcPr>
          <w:p w:rsidR="008963CE" w:rsidRDefault="008963CE" w:rsidP="003B67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8963CE" w:rsidRPr="008963CE" w:rsidRDefault="008963CE" w:rsidP="00721CA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26</w:t>
            </w:r>
            <w:r w:rsidRPr="008963CE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444E7B">
              <w:rPr>
                <w:rFonts w:ascii="Arial" w:hAnsi="Arial" w:cs="Arial"/>
                <w:sz w:val="22"/>
                <w:szCs w:val="24"/>
              </w:rPr>
              <w:t>6. Collection, Use and Storage Limitation</w:t>
            </w:r>
          </w:p>
        </w:tc>
        <w:tc>
          <w:tcPr>
            <w:tcW w:w="4770" w:type="dxa"/>
            <w:shd w:val="clear" w:color="auto" w:fill="auto"/>
          </w:tcPr>
          <w:p w:rsidR="008963CE" w:rsidRDefault="008963CE" w:rsidP="003B67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444E7B" w:rsidRDefault="00444E7B" w:rsidP="003B67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It is proposed for the kind evaluation of the Authority that aspects covering access to the data by health information users may be further specified such as creation of ABHA / User id for health information users (i.e. Insurance Companies)</w:t>
            </w:r>
            <w:r w:rsidR="00476F63">
              <w:rPr>
                <w:rFonts w:ascii="Arial" w:hAnsi="Arial" w:cs="Arial"/>
                <w:sz w:val="22"/>
                <w:szCs w:val="24"/>
              </w:rPr>
              <w:t xml:space="preserve">. Further, facility of uploading health policy and claim details may be provided which will enhance the utility of the information. </w:t>
            </w:r>
          </w:p>
          <w:p w:rsidR="00E8682C" w:rsidRDefault="00E8682C" w:rsidP="003B67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FB52BA" w:rsidRPr="00454481" w:rsidRDefault="00FB52BA" w:rsidP="003B67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52BA" w:rsidRPr="008963CE" w:rsidRDefault="00FB52BA" w:rsidP="003B67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A65179" w:rsidRPr="00454481" w:rsidRDefault="00A65179" w:rsidP="003B67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52BA" w:rsidRDefault="00476F63" w:rsidP="003B6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21D">
              <w:rPr>
                <w:rFonts w:ascii="Arial" w:hAnsi="Arial" w:cs="Arial"/>
                <w:sz w:val="24"/>
                <w:szCs w:val="24"/>
              </w:rPr>
              <w:t xml:space="preserve">This will enable Insurance Companies in the capacity of Health Information Users </w:t>
            </w:r>
            <w:r>
              <w:rPr>
                <w:rFonts w:ascii="Arial" w:hAnsi="Arial" w:cs="Arial"/>
                <w:sz w:val="24"/>
                <w:szCs w:val="24"/>
              </w:rPr>
              <w:t>to a</w:t>
            </w:r>
            <w:r w:rsidR="00FB52BA" w:rsidRPr="00721CA0">
              <w:rPr>
                <w:rFonts w:ascii="Arial" w:hAnsi="Arial" w:cs="Arial"/>
                <w:sz w:val="24"/>
                <w:szCs w:val="24"/>
              </w:rPr>
              <w:t xml:space="preserve">ccess the DATA </w:t>
            </w:r>
            <w:r>
              <w:rPr>
                <w:rFonts w:ascii="Arial" w:hAnsi="Arial" w:cs="Arial"/>
                <w:sz w:val="24"/>
                <w:szCs w:val="24"/>
              </w:rPr>
              <w:t>at the time of</w:t>
            </w:r>
            <w:r w:rsidR="00FB52BA" w:rsidRPr="00721CA0">
              <w:rPr>
                <w:rFonts w:ascii="Arial" w:hAnsi="Arial" w:cs="Arial"/>
                <w:sz w:val="24"/>
                <w:szCs w:val="24"/>
              </w:rPr>
              <w:t xml:space="preserve"> underwriting the policies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B52BA" w:rsidRPr="00FB52BA">
              <w:rPr>
                <w:rFonts w:ascii="Arial" w:hAnsi="Arial" w:cs="Arial"/>
                <w:sz w:val="24"/>
                <w:szCs w:val="24"/>
              </w:rPr>
              <w:t>will also help in smooth and speedy claim processing.</w:t>
            </w:r>
          </w:p>
          <w:p w:rsidR="00476F63" w:rsidRDefault="00476F63" w:rsidP="003B6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67E9" w:rsidRPr="00454481" w:rsidRDefault="00476F63" w:rsidP="003B67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Further, this will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3B67E9">
              <w:rPr>
                <w:rFonts w:ascii="Arial" w:hAnsi="Arial" w:cs="Arial"/>
                <w:sz w:val="24"/>
                <w:szCs w:val="24"/>
              </w:rPr>
              <w:t xml:space="preserve"> help</w:t>
            </w:r>
            <w:proofErr w:type="gramEnd"/>
            <w:r w:rsidR="003B67E9"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 xml:space="preserve">o curb the fraudulent practices in respect of insurance policies at various stages. </w:t>
            </w:r>
          </w:p>
        </w:tc>
      </w:tr>
      <w:tr w:rsidR="00C6321D" w:rsidRPr="00454481" w:rsidTr="00C6321D">
        <w:trPr>
          <w:trHeight w:val="1970"/>
          <w:jc w:val="center"/>
        </w:trPr>
        <w:tc>
          <w:tcPr>
            <w:tcW w:w="603" w:type="dxa"/>
            <w:shd w:val="clear" w:color="auto" w:fill="auto"/>
          </w:tcPr>
          <w:p w:rsidR="00E358D6" w:rsidRDefault="00E358D6" w:rsidP="00E358D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2.</w:t>
            </w:r>
          </w:p>
        </w:tc>
        <w:tc>
          <w:tcPr>
            <w:tcW w:w="790" w:type="dxa"/>
            <w:shd w:val="clear" w:color="auto" w:fill="auto"/>
          </w:tcPr>
          <w:p w:rsidR="00E358D6" w:rsidRPr="00E358D6" w:rsidRDefault="00E358D6" w:rsidP="00E35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D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52" w:type="dxa"/>
            <w:shd w:val="clear" w:color="auto" w:fill="auto"/>
          </w:tcPr>
          <w:p w:rsidR="00E358D6" w:rsidRPr="00E358D6" w:rsidRDefault="00E358D6" w:rsidP="00E35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D6">
              <w:rPr>
                <w:rFonts w:ascii="Arial" w:hAnsi="Arial" w:cs="Arial"/>
                <w:sz w:val="24"/>
                <w:szCs w:val="24"/>
              </w:rPr>
              <w:t>14.1.a.iii</w:t>
            </w:r>
          </w:p>
        </w:tc>
        <w:tc>
          <w:tcPr>
            <w:tcW w:w="4770" w:type="dxa"/>
            <w:shd w:val="clear" w:color="auto" w:fill="auto"/>
          </w:tcPr>
          <w:p w:rsidR="00E358D6" w:rsidRPr="00530EE9" w:rsidRDefault="00E358D6" w:rsidP="000D5B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EE9">
              <w:rPr>
                <w:rFonts w:ascii="Arial" w:hAnsi="Arial" w:cs="Arial"/>
                <w:bCs/>
                <w:sz w:val="24"/>
                <w:szCs w:val="24"/>
              </w:rPr>
              <w:t xml:space="preserve">It may be a practical challenge to map and publish a list of vendor\partner against the data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principal</w:t>
            </w:r>
            <w:r w:rsidRPr="00530EE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E358D6" w:rsidRPr="00530EE9" w:rsidRDefault="00E358D6" w:rsidP="00E358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EE9">
              <w:rPr>
                <w:rFonts w:ascii="Arial" w:hAnsi="Arial" w:cs="Arial"/>
                <w:bCs/>
                <w:sz w:val="24"/>
                <w:szCs w:val="24"/>
              </w:rPr>
              <w:t>For the purpose of servicing customers, relevant data may be shared with multiple partners such as laboratories, printing vendors etc.</w:t>
            </w:r>
          </w:p>
        </w:tc>
      </w:tr>
      <w:tr w:rsidR="000D5B32" w:rsidRPr="00454481" w:rsidTr="00E358D6">
        <w:trPr>
          <w:trHeight w:val="1970"/>
          <w:jc w:val="center"/>
        </w:trPr>
        <w:tc>
          <w:tcPr>
            <w:tcW w:w="603" w:type="dxa"/>
          </w:tcPr>
          <w:p w:rsidR="000D5B32" w:rsidRDefault="000D5B32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3. </w:t>
            </w:r>
          </w:p>
        </w:tc>
        <w:tc>
          <w:tcPr>
            <w:tcW w:w="790" w:type="dxa"/>
            <w:shd w:val="clear" w:color="auto" w:fill="auto"/>
          </w:tcPr>
          <w:p w:rsidR="000D5B32" w:rsidRPr="000D5B32" w:rsidRDefault="000D5B32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B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2" w:type="dxa"/>
            <w:shd w:val="clear" w:color="auto" w:fill="auto"/>
          </w:tcPr>
          <w:p w:rsidR="000D5B32" w:rsidRPr="000D5B32" w:rsidRDefault="000D5B32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B32">
              <w:rPr>
                <w:rFonts w:ascii="Arial" w:hAnsi="Arial" w:cs="Arial"/>
                <w:sz w:val="24"/>
                <w:szCs w:val="24"/>
              </w:rPr>
              <w:t>14.2.f</w:t>
            </w:r>
          </w:p>
        </w:tc>
        <w:tc>
          <w:tcPr>
            <w:tcW w:w="4770" w:type="dxa"/>
            <w:shd w:val="clear" w:color="auto" w:fill="auto"/>
          </w:tcPr>
          <w:p w:rsidR="000D5B32" w:rsidRPr="00530EE9" w:rsidRDefault="000D5B32" w:rsidP="000D5B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EE9">
              <w:rPr>
                <w:rFonts w:ascii="Arial" w:hAnsi="Arial" w:cs="Arial"/>
                <w:bCs/>
                <w:sz w:val="24"/>
                <w:szCs w:val="24"/>
              </w:rPr>
              <w:t xml:space="preserve">It is proposed for the kind evaluation of the Authority that the system/process/channel for raising such requests by the data principal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under clause 14.1 </w:t>
            </w:r>
            <w:r w:rsidRPr="00530EE9">
              <w:rPr>
                <w:rFonts w:ascii="Arial" w:hAnsi="Arial" w:cs="Arial"/>
                <w:bCs/>
                <w:sz w:val="24"/>
                <w:szCs w:val="24"/>
              </w:rPr>
              <w:t>may be defined or identified.</w:t>
            </w:r>
          </w:p>
        </w:tc>
        <w:tc>
          <w:tcPr>
            <w:tcW w:w="3150" w:type="dxa"/>
            <w:shd w:val="clear" w:color="auto" w:fill="auto"/>
          </w:tcPr>
          <w:p w:rsidR="000D5B32" w:rsidRPr="00530EE9" w:rsidRDefault="000D5B32" w:rsidP="000D5B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EE9">
              <w:rPr>
                <w:rFonts w:ascii="Arial" w:hAnsi="Arial" w:cs="Arial"/>
                <w:bCs/>
                <w:sz w:val="24"/>
                <w:szCs w:val="24"/>
              </w:rPr>
              <w:t>The method and chan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nel may be specified which can</w:t>
            </w:r>
            <w:r w:rsidRPr="00530E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be </w:t>
            </w:r>
            <w:r w:rsidRPr="00530EE9">
              <w:rPr>
                <w:rFonts w:ascii="Arial" w:hAnsi="Arial" w:cs="Arial"/>
                <w:bCs/>
                <w:sz w:val="24"/>
                <w:szCs w:val="24"/>
              </w:rPr>
              <w:t>traceable and auditable.</w:t>
            </w:r>
          </w:p>
        </w:tc>
      </w:tr>
      <w:tr w:rsidR="00C012DB" w:rsidRPr="00454481" w:rsidTr="00E358D6">
        <w:trPr>
          <w:trHeight w:val="1970"/>
          <w:jc w:val="center"/>
        </w:trPr>
        <w:tc>
          <w:tcPr>
            <w:tcW w:w="603" w:type="dxa"/>
          </w:tcPr>
          <w:p w:rsidR="00C012DB" w:rsidRDefault="00C012DB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790" w:type="dxa"/>
            <w:shd w:val="clear" w:color="auto" w:fill="auto"/>
          </w:tcPr>
          <w:p w:rsidR="00C012DB" w:rsidRPr="000D5B32" w:rsidRDefault="00C012DB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1752" w:type="dxa"/>
            <w:shd w:val="clear" w:color="auto" w:fill="auto"/>
          </w:tcPr>
          <w:p w:rsidR="00C012DB" w:rsidRPr="000D5B32" w:rsidRDefault="00C012DB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4-O</w:t>
            </w:r>
          </w:p>
        </w:tc>
        <w:tc>
          <w:tcPr>
            <w:tcW w:w="4770" w:type="dxa"/>
            <w:shd w:val="clear" w:color="auto" w:fill="auto"/>
          </w:tcPr>
          <w:p w:rsidR="00C012DB" w:rsidRDefault="00C012DB" w:rsidP="000D5B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12DB">
              <w:rPr>
                <w:rFonts w:ascii="Arial" w:hAnsi="Arial" w:cs="Arial"/>
                <w:bCs/>
                <w:sz w:val="24"/>
                <w:szCs w:val="24"/>
              </w:rPr>
              <w:t>While there is a provision in the draft for disclosure of withdrawal or denial of service / benefit, discrimination (defined as 'harm') when consent is being taken from the data principal, it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Pr="00C012DB">
              <w:rPr>
                <w:rFonts w:ascii="Arial" w:hAnsi="Arial" w:cs="Arial"/>
                <w:bCs/>
                <w:sz w:val="24"/>
                <w:szCs w:val="24"/>
              </w:rPr>
              <w:t>s recommended that any such withdrawal / denial that is based on defined Policy Terms and Condition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contracted by the customer may </w:t>
            </w:r>
            <w:r w:rsidRPr="00C012DB">
              <w:rPr>
                <w:rFonts w:ascii="Arial" w:hAnsi="Arial" w:cs="Arial"/>
                <w:bCs/>
                <w:sz w:val="24"/>
                <w:szCs w:val="24"/>
              </w:rPr>
              <w:t>not be considered as “harm”.</w:t>
            </w:r>
          </w:p>
          <w:p w:rsidR="00C012DB" w:rsidRPr="00530EE9" w:rsidRDefault="00C012DB" w:rsidP="000D5B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C012DB" w:rsidRPr="00530EE9" w:rsidRDefault="00C012DB" w:rsidP="00C012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It is suggested to provide clarity in the health data management policy. </w:t>
            </w:r>
          </w:p>
        </w:tc>
      </w:tr>
      <w:tr w:rsidR="00C012DB" w:rsidRPr="00454481" w:rsidTr="00E358D6">
        <w:trPr>
          <w:trHeight w:val="1970"/>
          <w:jc w:val="center"/>
        </w:trPr>
        <w:tc>
          <w:tcPr>
            <w:tcW w:w="603" w:type="dxa"/>
          </w:tcPr>
          <w:p w:rsidR="00C012DB" w:rsidRDefault="00C012DB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5.</w:t>
            </w:r>
          </w:p>
        </w:tc>
        <w:tc>
          <w:tcPr>
            <w:tcW w:w="790" w:type="dxa"/>
            <w:shd w:val="clear" w:color="auto" w:fill="auto"/>
          </w:tcPr>
          <w:p w:rsidR="00C012DB" w:rsidRDefault="00C012DB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2" w:type="dxa"/>
            <w:shd w:val="clear" w:color="auto" w:fill="auto"/>
          </w:tcPr>
          <w:p w:rsidR="00C012DB" w:rsidRDefault="00C012DB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10.g</w:t>
            </w:r>
          </w:p>
        </w:tc>
        <w:tc>
          <w:tcPr>
            <w:tcW w:w="4770" w:type="dxa"/>
            <w:shd w:val="clear" w:color="auto" w:fill="auto"/>
          </w:tcPr>
          <w:p w:rsidR="00C012DB" w:rsidRDefault="00C012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12DB">
              <w:rPr>
                <w:rFonts w:ascii="Arial" w:hAnsi="Arial" w:cs="Arial"/>
                <w:bCs/>
                <w:sz w:val="24"/>
                <w:szCs w:val="24"/>
              </w:rPr>
              <w:t xml:space="preserve">The repository of health records and data storage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Pr="00C012DB">
              <w:rPr>
                <w:rFonts w:ascii="Arial" w:hAnsi="Arial" w:cs="Arial"/>
                <w:bCs/>
                <w:sz w:val="24"/>
                <w:szCs w:val="24"/>
              </w:rPr>
              <w:t xml:space="preserve"> be based on the compliance of corresponding industry’s statutory and regulatory body directives. </w:t>
            </w:r>
          </w:p>
          <w:p w:rsidR="00C012DB" w:rsidRPr="00C012DB" w:rsidRDefault="00C012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12DB">
              <w:rPr>
                <w:rFonts w:ascii="Arial" w:hAnsi="Arial" w:cs="Arial"/>
                <w:bCs/>
                <w:sz w:val="24"/>
                <w:szCs w:val="24"/>
              </w:rPr>
              <w:t>For example, the period for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which the</w:t>
            </w:r>
            <w:r w:rsidRPr="00C012DB">
              <w:rPr>
                <w:rFonts w:ascii="Arial" w:hAnsi="Arial" w:cs="Arial"/>
                <w:bCs/>
                <w:sz w:val="24"/>
                <w:szCs w:val="24"/>
              </w:rPr>
              <w:t xml:space="preserve"> personal data shall be retained, the right to forget/delete personal data.</w:t>
            </w:r>
          </w:p>
        </w:tc>
        <w:tc>
          <w:tcPr>
            <w:tcW w:w="3150" w:type="dxa"/>
            <w:shd w:val="clear" w:color="auto" w:fill="auto"/>
          </w:tcPr>
          <w:p w:rsidR="00C012DB" w:rsidRDefault="00C012DB" w:rsidP="00C012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 is suggested to provide clarity and ease out provisions in the health data management policy.</w:t>
            </w:r>
          </w:p>
          <w:p w:rsidR="00C012DB" w:rsidRPr="00721CA0" w:rsidRDefault="00C012DB" w:rsidP="00C632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DB" w:rsidRPr="00454481" w:rsidTr="00E358D6">
        <w:trPr>
          <w:trHeight w:val="1970"/>
          <w:jc w:val="center"/>
        </w:trPr>
        <w:tc>
          <w:tcPr>
            <w:tcW w:w="603" w:type="dxa"/>
          </w:tcPr>
          <w:p w:rsidR="00C012DB" w:rsidRDefault="00C012DB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790" w:type="dxa"/>
            <w:shd w:val="clear" w:color="auto" w:fill="auto"/>
          </w:tcPr>
          <w:p w:rsidR="00C012DB" w:rsidRDefault="00BB2155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52" w:type="dxa"/>
            <w:shd w:val="clear" w:color="auto" w:fill="auto"/>
          </w:tcPr>
          <w:p w:rsidR="00C012DB" w:rsidRDefault="00BB2155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26.2</w:t>
            </w:r>
          </w:p>
        </w:tc>
        <w:tc>
          <w:tcPr>
            <w:tcW w:w="4770" w:type="dxa"/>
            <w:shd w:val="clear" w:color="auto" w:fill="auto"/>
          </w:tcPr>
          <w:p w:rsidR="00C012DB" w:rsidRPr="00C012DB" w:rsidRDefault="00BB21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155">
              <w:rPr>
                <w:rFonts w:ascii="Arial" w:hAnsi="Arial" w:cs="Arial"/>
                <w:bCs/>
                <w:sz w:val="24"/>
                <w:szCs w:val="24"/>
              </w:rPr>
              <w:t xml:space="preserve">The information to be provided by the data fiduciary to the data principal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Pr="00BB2155">
              <w:rPr>
                <w:rFonts w:ascii="Arial" w:hAnsi="Arial" w:cs="Arial"/>
                <w:bCs/>
                <w:sz w:val="24"/>
                <w:szCs w:val="24"/>
              </w:rPr>
              <w:t xml:space="preserve"> be allowed in electronic form</w:t>
            </w:r>
          </w:p>
        </w:tc>
        <w:tc>
          <w:tcPr>
            <w:tcW w:w="3150" w:type="dxa"/>
            <w:shd w:val="clear" w:color="auto" w:fill="auto"/>
          </w:tcPr>
          <w:p w:rsidR="00C012DB" w:rsidRDefault="00BB21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It is suggested to ensure convenience of data fiduciary and data principal.  </w:t>
            </w:r>
          </w:p>
        </w:tc>
      </w:tr>
      <w:tr w:rsidR="00802B04" w:rsidRPr="00454481" w:rsidTr="00E358D6">
        <w:trPr>
          <w:trHeight w:val="1970"/>
          <w:jc w:val="center"/>
        </w:trPr>
        <w:tc>
          <w:tcPr>
            <w:tcW w:w="603" w:type="dxa"/>
          </w:tcPr>
          <w:p w:rsidR="00802B04" w:rsidRDefault="00802B04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7.</w:t>
            </w:r>
          </w:p>
        </w:tc>
        <w:tc>
          <w:tcPr>
            <w:tcW w:w="790" w:type="dxa"/>
            <w:shd w:val="clear" w:color="auto" w:fill="auto"/>
          </w:tcPr>
          <w:p w:rsidR="00802B04" w:rsidRDefault="00802B04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802B04" w:rsidRDefault="00802B04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802B04" w:rsidRPr="00C6321D" w:rsidRDefault="004550C4" w:rsidP="00C63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suggested that the c</w:t>
            </w:r>
            <w:r w:rsidR="00802B04" w:rsidRPr="00C6321D">
              <w:rPr>
                <w:rFonts w:ascii="Arial" w:hAnsi="Arial" w:cs="Arial"/>
                <w:sz w:val="24"/>
                <w:szCs w:val="24"/>
              </w:rPr>
              <w:t xml:space="preserve">onsent for access of DATA from data </w:t>
            </w:r>
            <w:r>
              <w:rPr>
                <w:rFonts w:ascii="Arial" w:hAnsi="Arial" w:cs="Arial"/>
                <w:sz w:val="24"/>
                <w:szCs w:val="24"/>
              </w:rPr>
              <w:t xml:space="preserve">principal </w:t>
            </w:r>
            <w:r w:rsidR="00802B04" w:rsidRPr="00C6321D">
              <w:rPr>
                <w:rFonts w:ascii="Arial" w:hAnsi="Arial" w:cs="Arial"/>
                <w:sz w:val="24"/>
                <w:szCs w:val="24"/>
              </w:rPr>
              <w:t xml:space="preserve">(Insured) </w:t>
            </w:r>
            <w:r>
              <w:rPr>
                <w:rFonts w:ascii="Arial" w:hAnsi="Arial" w:cs="Arial"/>
                <w:sz w:val="24"/>
                <w:szCs w:val="24"/>
              </w:rPr>
              <w:t xml:space="preserve">may be allowed to be procured at the time of underwriting of policies or registering of claims by way of </w:t>
            </w:r>
            <w:r w:rsidR="00802B04" w:rsidRPr="00C6321D">
              <w:rPr>
                <w:rFonts w:ascii="Arial" w:hAnsi="Arial" w:cs="Arial"/>
                <w:sz w:val="24"/>
                <w:szCs w:val="24"/>
              </w:rPr>
              <w:t xml:space="preserve">proposal form </w:t>
            </w:r>
            <w:r>
              <w:rPr>
                <w:rFonts w:ascii="Arial" w:hAnsi="Arial" w:cs="Arial"/>
                <w:sz w:val="24"/>
                <w:szCs w:val="24"/>
              </w:rPr>
              <w:t>or c</w:t>
            </w:r>
            <w:r w:rsidR="00802B04" w:rsidRPr="00C6321D">
              <w:rPr>
                <w:rFonts w:ascii="Arial" w:hAnsi="Arial" w:cs="Arial"/>
                <w:sz w:val="24"/>
                <w:szCs w:val="24"/>
              </w:rPr>
              <w:t xml:space="preserve">laim form </w:t>
            </w:r>
            <w:r>
              <w:rPr>
                <w:rFonts w:ascii="Arial" w:hAnsi="Arial" w:cs="Arial"/>
                <w:sz w:val="24"/>
                <w:szCs w:val="24"/>
              </w:rPr>
              <w:t xml:space="preserve">respectively. </w:t>
            </w:r>
          </w:p>
        </w:tc>
        <w:tc>
          <w:tcPr>
            <w:tcW w:w="3150" w:type="dxa"/>
            <w:shd w:val="clear" w:color="auto" w:fill="auto"/>
          </w:tcPr>
          <w:p w:rsidR="00802B04" w:rsidRDefault="004550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This </w:t>
            </w:r>
            <w:r w:rsidR="00A217DF">
              <w:rPr>
                <w:rFonts w:ascii="Arial" w:hAnsi="Arial" w:cs="Arial"/>
                <w:bCs/>
                <w:sz w:val="24"/>
                <w:szCs w:val="24"/>
              </w:rPr>
              <w:t>is intended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ensure speedy claims management and will also </w:t>
            </w:r>
            <w:r w:rsidR="00A217DF">
              <w:rPr>
                <w:rFonts w:ascii="Arial" w:hAnsi="Arial" w:cs="Arial"/>
                <w:bCs/>
                <w:sz w:val="24"/>
                <w:szCs w:val="24"/>
              </w:rPr>
              <w:t xml:space="preserve">help in underwriting of policies. </w:t>
            </w:r>
          </w:p>
        </w:tc>
      </w:tr>
      <w:tr w:rsidR="00A217DF" w:rsidRPr="00454481" w:rsidTr="00E358D6">
        <w:trPr>
          <w:trHeight w:val="1970"/>
          <w:jc w:val="center"/>
        </w:trPr>
        <w:tc>
          <w:tcPr>
            <w:tcW w:w="603" w:type="dxa"/>
          </w:tcPr>
          <w:p w:rsidR="00A217DF" w:rsidRDefault="00A217DF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8.</w:t>
            </w:r>
          </w:p>
        </w:tc>
        <w:tc>
          <w:tcPr>
            <w:tcW w:w="790" w:type="dxa"/>
            <w:shd w:val="clear" w:color="auto" w:fill="auto"/>
          </w:tcPr>
          <w:p w:rsidR="00A217DF" w:rsidRDefault="00A217DF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A217DF" w:rsidRDefault="00A217DF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217DF" w:rsidRDefault="00A217DF" w:rsidP="00C6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suggested that the Insurance C</w:t>
            </w:r>
            <w:r w:rsidRPr="00A217DF">
              <w:rPr>
                <w:rFonts w:ascii="Arial" w:hAnsi="Arial" w:cs="Arial"/>
                <w:sz w:val="24"/>
                <w:szCs w:val="24"/>
              </w:rPr>
              <w:t xml:space="preserve">ompanies </w:t>
            </w:r>
            <w:r>
              <w:rPr>
                <w:rFonts w:ascii="Arial" w:hAnsi="Arial" w:cs="Arial"/>
                <w:sz w:val="24"/>
                <w:szCs w:val="24"/>
              </w:rPr>
              <w:t xml:space="preserve">may be provided access to the </w:t>
            </w:r>
            <w:r w:rsidRPr="00A217DF"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z w:val="24"/>
                <w:szCs w:val="24"/>
              </w:rPr>
              <w:t xml:space="preserve"> of data principal</w:t>
            </w:r>
            <w:r w:rsidRPr="00A217DF">
              <w:rPr>
                <w:rFonts w:ascii="Arial" w:hAnsi="Arial" w:cs="Arial"/>
                <w:sz w:val="24"/>
                <w:szCs w:val="24"/>
              </w:rPr>
              <w:t xml:space="preserve"> on similar </w:t>
            </w:r>
            <w:r>
              <w:rPr>
                <w:rFonts w:ascii="Arial" w:hAnsi="Arial" w:cs="Arial"/>
                <w:sz w:val="24"/>
                <w:szCs w:val="24"/>
              </w:rPr>
              <w:t>lines as B</w:t>
            </w:r>
            <w:r w:rsidRPr="00A217DF">
              <w:rPr>
                <w:rFonts w:ascii="Arial" w:hAnsi="Arial" w:cs="Arial"/>
                <w:sz w:val="24"/>
                <w:szCs w:val="24"/>
              </w:rPr>
              <w:t>anks have access to login and check CIBIL scores.</w:t>
            </w:r>
          </w:p>
        </w:tc>
        <w:tc>
          <w:tcPr>
            <w:tcW w:w="3150" w:type="dxa"/>
            <w:shd w:val="clear" w:color="auto" w:fill="auto"/>
          </w:tcPr>
          <w:p w:rsidR="00A217DF" w:rsidRDefault="00C806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This will allow insurance companies in the capacity of data fiduciary to have greater access to the data of data principal.</w:t>
            </w:r>
          </w:p>
        </w:tc>
      </w:tr>
      <w:tr w:rsidR="008049C1" w:rsidRPr="00454481" w:rsidTr="00E358D6">
        <w:trPr>
          <w:trHeight w:val="1970"/>
          <w:jc w:val="center"/>
        </w:trPr>
        <w:tc>
          <w:tcPr>
            <w:tcW w:w="603" w:type="dxa"/>
          </w:tcPr>
          <w:p w:rsidR="008049C1" w:rsidRDefault="00803835" w:rsidP="000D5B32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bookmarkStart w:id="1" w:name="_GoBack" w:colFirst="1" w:colLast="4"/>
            <w:r>
              <w:rPr>
                <w:rFonts w:ascii="Arial" w:hAnsi="Arial" w:cs="Arial"/>
                <w:sz w:val="22"/>
                <w:szCs w:val="24"/>
              </w:rPr>
              <w:t>9.</w:t>
            </w:r>
          </w:p>
        </w:tc>
        <w:tc>
          <w:tcPr>
            <w:tcW w:w="790" w:type="dxa"/>
            <w:shd w:val="clear" w:color="auto" w:fill="auto"/>
          </w:tcPr>
          <w:p w:rsidR="008049C1" w:rsidRDefault="00803835" w:rsidP="000D5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8049C1" w:rsidRDefault="00803835" w:rsidP="00C01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8049C1" w:rsidRDefault="008038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835">
              <w:rPr>
                <w:rFonts w:ascii="Arial" w:hAnsi="Arial" w:cs="Arial"/>
                <w:sz w:val="24"/>
                <w:szCs w:val="24"/>
              </w:rPr>
              <w:t xml:space="preserve">Auto generation of health ID for the new-born child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803835">
              <w:rPr>
                <w:rFonts w:ascii="Arial" w:hAnsi="Arial" w:cs="Arial"/>
                <w:sz w:val="24"/>
                <w:szCs w:val="24"/>
              </w:rPr>
              <w:t xml:space="preserve"> be envisioned as part of this initiative.</w:t>
            </w:r>
          </w:p>
        </w:tc>
        <w:tc>
          <w:tcPr>
            <w:tcW w:w="3150" w:type="dxa"/>
            <w:shd w:val="clear" w:color="auto" w:fill="auto"/>
          </w:tcPr>
          <w:p w:rsidR="008049C1" w:rsidRDefault="00D27644" w:rsidP="00A21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This is intended to contribute towards automation/digitization. </w:t>
            </w:r>
          </w:p>
        </w:tc>
      </w:tr>
    </w:tbl>
    <w:bookmarkEnd w:id="1"/>
    <w:p w:rsidR="00E8682C" w:rsidRPr="00E8682C" w:rsidRDefault="00E8682C" w:rsidP="00C6321D">
      <w:r>
        <w:t xml:space="preserve"> </w:t>
      </w:r>
    </w:p>
    <w:sectPr w:rsidR="00E8682C" w:rsidRPr="00E8682C" w:rsidSect="006134FB">
      <w:pgSz w:w="12240" w:h="15840" w:code="1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B4345"/>
    <w:multiLevelType w:val="hybridMultilevel"/>
    <w:tmpl w:val="13540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B93"/>
    <w:multiLevelType w:val="hybridMultilevel"/>
    <w:tmpl w:val="D6589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9271F"/>
    <w:multiLevelType w:val="multilevel"/>
    <w:tmpl w:val="123A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913D5"/>
    <w:multiLevelType w:val="hybridMultilevel"/>
    <w:tmpl w:val="3872B476"/>
    <w:lvl w:ilvl="0" w:tplc="AA4214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82275D"/>
    <w:multiLevelType w:val="hybridMultilevel"/>
    <w:tmpl w:val="36F6E94E"/>
    <w:lvl w:ilvl="0" w:tplc="A8787C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CD"/>
    <w:rsid w:val="00020C7C"/>
    <w:rsid w:val="00040CC9"/>
    <w:rsid w:val="0007690D"/>
    <w:rsid w:val="000D5B32"/>
    <w:rsid w:val="001642D5"/>
    <w:rsid w:val="001E1E2A"/>
    <w:rsid w:val="002462E0"/>
    <w:rsid w:val="003B67E9"/>
    <w:rsid w:val="003D2667"/>
    <w:rsid w:val="00433B89"/>
    <w:rsid w:val="00444E7B"/>
    <w:rsid w:val="00454481"/>
    <w:rsid w:val="004550C4"/>
    <w:rsid w:val="00476F63"/>
    <w:rsid w:val="004E58D0"/>
    <w:rsid w:val="00605DA6"/>
    <w:rsid w:val="006232CD"/>
    <w:rsid w:val="00680A48"/>
    <w:rsid w:val="006A2E16"/>
    <w:rsid w:val="00721CA0"/>
    <w:rsid w:val="00802B04"/>
    <w:rsid w:val="00803835"/>
    <w:rsid w:val="008049C1"/>
    <w:rsid w:val="008963CE"/>
    <w:rsid w:val="008B7CA3"/>
    <w:rsid w:val="009635DB"/>
    <w:rsid w:val="009A3C55"/>
    <w:rsid w:val="009F1938"/>
    <w:rsid w:val="00A14085"/>
    <w:rsid w:val="00A217DF"/>
    <w:rsid w:val="00A34ECD"/>
    <w:rsid w:val="00A65179"/>
    <w:rsid w:val="00AF4936"/>
    <w:rsid w:val="00BB2155"/>
    <w:rsid w:val="00BE4867"/>
    <w:rsid w:val="00C00CBE"/>
    <w:rsid w:val="00C012DB"/>
    <w:rsid w:val="00C21908"/>
    <w:rsid w:val="00C6321D"/>
    <w:rsid w:val="00C80612"/>
    <w:rsid w:val="00D00C46"/>
    <w:rsid w:val="00D27644"/>
    <w:rsid w:val="00D90D73"/>
    <w:rsid w:val="00DF62FC"/>
    <w:rsid w:val="00E358D6"/>
    <w:rsid w:val="00E8682C"/>
    <w:rsid w:val="00EC02E9"/>
    <w:rsid w:val="00F56FA2"/>
    <w:rsid w:val="00F63860"/>
    <w:rsid w:val="00FB52BA"/>
    <w:rsid w:val="00FC4833"/>
    <w:rsid w:val="00FE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7FB0F-1B12-46B5-9ECA-7BA24E7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4B04"/>
    <w:pPr>
      <w:spacing w:after="0" w:line="240" w:lineRule="auto"/>
    </w:pPr>
    <w:rPr>
      <w:rFonts w:ascii="Calibri" w:eastAsia="Times New Roman" w:hAnsi="Calibri" w:cs="Times New Roman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46"/>
    <w:rPr>
      <w:rFonts w:ascii="Segoe UI" w:eastAsia="Times New Roman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C012D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Kumari</dc:creator>
  <cp:keywords/>
  <dc:description/>
  <cp:lastModifiedBy>Avni Barai     /LEGAL/ICICILOMBARD/PRBD</cp:lastModifiedBy>
  <cp:revision>17</cp:revision>
  <dcterms:created xsi:type="dcterms:W3CDTF">2022-05-20T11:40:00Z</dcterms:created>
  <dcterms:modified xsi:type="dcterms:W3CDTF">2022-05-20T18:14:00Z</dcterms:modified>
</cp:coreProperties>
</file>